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8" w:firstLine="0"/>
        <w:jc w:val="center"/>
        <w:rPr/>
      </w:pPr>
      <w:r w:rsidDel="00000000" w:rsidR="00000000" w:rsidRPr="00000000">
        <w:rPr>
          <w:rtl w:val="0"/>
        </w:rPr>
        <w:t xml:space="preserve">ANEXO V – AUTODECLARAÇÃO – PPI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40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 nacionalidade 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  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nascido (a) em 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 ______ /  _______/   ______,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inscrito (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no CPF nº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ao Edital 01/2025 – “Murilão” do Programa Cultural Murilo Mendes / Funalfa, declaro, sob as penas da lei, que estou ciente de que: I. ao optar por participar do referido processo seletivo nas Cotas Étnico - Raciais me declaro preto ou pardo </w:t>
      </w:r>
      <w:r w:rsidDel="00000000" w:rsidR="00000000" w:rsidRPr="00000000">
        <w:rPr>
          <w:sz w:val="24"/>
          <w:szCs w:val="24"/>
          <w:rtl w:val="0"/>
        </w:rPr>
        <w:t xml:space="preserve">ou indígena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(cota PPI).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40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Essa autodeclaração goza de presunção de veracidade.</w:t>
        <w:br w:type="textWrapping"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40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OBS: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Estou ciente de que, caso a administração pública receba denúncia para verificação da autodeclaração, mediante juízo de admissibilidade, serão realizados os seguintes procedimentos complementares: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40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- Solicitação de carta consubstanciada: documento apresentado em formato escrito, oral ou audiovisual, que promove a reflexão sobre o pertencimento étnico-racial, contendo os motivos pelos quais o agente cultural se autodeclara negro (preto ou pardo) ou indígena.</w:t>
      </w:r>
      <w:r w:rsidDel="00000000" w:rsidR="00000000" w:rsidRPr="00000000">
        <w:rPr>
          <w:sz w:val="24"/>
          <w:szCs w:val="24"/>
          <w:rtl w:val="0"/>
        </w:rPr>
        <w:t xml:space="preserve"> Nesse caso, 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proponente poderá solicitar à Funalfa, via protocolo de inscrição, o modelo da carta consubstanciada.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40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59"/>
          <w:tab w:val="left" w:leader="none" w:pos="3667"/>
        </w:tabs>
        <w:spacing w:after="0" w:before="0" w:line="276" w:lineRule="auto"/>
        <w:ind w:left="601" w:right="41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03"/>
          <w:tab w:val="left" w:leader="none" w:pos="4931"/>
        </w:tabs>
        <w:spacing w:after="0" w:before="0" w:line="240" w:lineRule="auto"/>
        <w:ind w:left="0" w:right="475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Juiz de Fora,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03"/>
          <w:tab w:val="left" w:leader="none" w:pos="4931"/>
        </w:tabs>
        <w:spacing w:after="0" w:before="0" w:line="240" w:lineRule="auto"/>
        <w:ind w:left="0" w:right="475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6350" distT="0" distL="0" distR="0" hidden="0" layoutInCell="1" locked="0" relativeHeight="0" simplePos="0">
                <wp:simplePos x="0" y="0"/>
                <wp:positionH relativeFrom="column">
                  <wp:posOffset>1739264</wp:posOffset>
                </wp:positionH>
                <wp:positionV relativeFrom="paragraph">
                  <wp:posOffset>170180</wp:posOffset>
                </wp:positionV>
                <wp:extent cx="1905" cy="12700"/>
                <wp:effectExtent b="0" l="0" r="0" t="0"/>
                <wp:wrapTopAndBottom distB="635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26500" y="3779100"/>
                          <a:ext cx="2439000" cy="1800"/>
                        </a:xfrm>
                        <a:custGeom>
                          <a:rect b="b" l="l" r="r" t="t"/>
                          <a:pathLst>
                            <a:path extrusionOk="0" h="120000"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0" distT="0" distL="0" distR="0" hidden="0" layoutInCell="1" locked="0" relativeHeight="0" simplePos="0">
                <wp:simplePos x="0" y="0"/>
                <wp:positionH relativeFrom="column">
                  <wp:posOffset>1739264</wp:posOffset>
                </wp:positionH>
                <wp:positionV relativeFrom="paragraph">
                  <wp:posOffset>170180</wp:posOffset>
                </wp:positionV>
                <wp:extent cx="1905" cy="12700"/>
                <wp:effectExtent b="0" l="0" r="0" t="0"/>
                <wp:wrapTopAndBottom distB="635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" w:line="240" w:lineRule="auto"/>
        <w:ind w:left="0" w:right="397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</w:t>
      </w: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54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JA+fS1oHLSazzM/GqKCYLtRi0g==">CgMxLjA4AHIhMXg4a0piTWZqUXhadFl4OGFBNjdoZ1A4VERjQ1RiTmVs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